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73" w:rsidRPr="00444A3A" w:rsidRDefault="00E51B73" w:rsidP="00444A3A">
      <w:pPr>
        <w:jc w:val="center"/>
        <w:rPr>
          <w:b/>
          <w:bCs/>
        </w:rPr>
      </w:pPr>
      <w:r w:rsidRPr="00444A3A">
        <w:rPr>
          <w:b/>
          <w:bCs/>
          <w:sz w:val="28"/>
          <w:szCs w:val="28"/>
        </w:rPr>
        <w:t xml:space="preserve">Áreas de Segurança Ambiental </w:t>
      </w:r>
      <w:r>
        <w:rPr>
          <w:b/>
          <w:bCs/>
          <w:sz w:val="28"/>
          <w:szCs w:val="28"/>
        </w:rPr>
        <w:t>–CRÍTICA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6379"/>
      </w:tblGrid>
      <w:tr w:rsidR="00E51B73" w:rsidRPr="00F44705">
        <w:trPr>
          <w:trHeight w:val="670"/>
          <w:jc w:val="center"/>
        </w:trPr>
        <w:tc>
          <w:tcPr>
            <w:tcW w:w="8789" w:type="dxa"/>
            <w:gridSpan w:val="2"/>
            <w:shd w:val="clear" w:color="auto" w:fill="FDE9D9"/>
          </w:tcPr>
          <w:p w:rsidR="00E51B73" w:rsidRPr="00F44705" w:rsidRDefault="00E51B73" w:rsidP="00F44705">
            <w:pPr>
              <w:spacing w:after="0" w:line="240" w:lineRule="auto"/>
              <w:rPr>
                <w:b/>
                <w:bCs/>
              </w:rPr>
            </w:pPr>
            <w:r w:rsidRPr="00F44705">
              <w:rPr>
                <w:b/>
                <w:bCs/>
              </w:rPr>
              <w:t>1.Descrição do Cenário:</w:t>
            </w:r>
          </w:p>
          <w:p w:rsidR="00E51B73" w:rsidRDefault="00E51B73" w:rsidP="00F44705">
            <w:pPr>
              <w:spacing w:after="0" w:line="240" w:lineRule="auto"/>
              <w:rPr>
                <w:i/>
                <w:iCs/>
              </w:rPr>
            </w:pPr>
            <w:r w:rsidRPr="00F44705">
              <w:rPr>
                <w:i/>
                <w:iCs/>
              </w:rPr>
              <w:t>(identificação do problema)</w:t>
            </w:r>
          </w:p>
          <w:p w:rsidR="00526C85" w:rsidRDefault="00526C85" w:rsidP="00F44705">
            <w:pPr>
              <w:spacing w:after="0" w:line="240" w:lineRule="auto"/>
              <w:rPr>
                <w:i/>
                <w:iCs/>
              </w:rPr>
            </w:pPr>
          </w:p>
          <w:p w:rsidR="00AE6C8B" w:rsidRDefault="00AE6C8B" w:rsidP="00AE6C8B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O setor 2, considerado crítico, consiste na área formada pel</w:t>
            </w:r>
            <w:r w:rsidR="00856FCD">
              <w:rPr>
                <w:i/>
                <w:iCs/>
              </w:rPr>
              <w:t>os</w:t>
            </w:r>
            <w:r w:rsidR="00526C85">
              <w:rPr>
                <w:i/>
                <w:iCs/>
              </w:rPr>
              <w:t xml:space="preserve"> talhões</w:t>
            </w:r>
            <w:r w:rsidR="00856FCD">
              <w:rPr>
                <w:i/>
                <w:iCs/>
              </w:rPr>
              <w:t xml:space="preserve"> 1, 2, 8, 10, 11, 12, 13, 14, 15, 19, 25, 28, 29, 31, 32, 33, 34, 35, 40, 41, 42, 43, 44, 45, 46, 47, 48, 49 e 51</w:t>
            </w:r>
            <w:r>
              <w:rPr>
                <w:i/>
                <w:iCs/>
              </w:rPr>
              <w:t>, bem como parte dos talhões 3,5, 6, 7 ,8, 9, 17,18,22 e 36.</w:t>
            </w:r>
          </w:p>
          <w:p w:rsidR="00422C99" w:rsidRDefault="00AE6C8B" w:rsidP="00F4470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Nesse setor </w:t>
            </w:r>
            <w:r w:rsidR="00767E98">
              <w:rPr>
                <w:i/>
                <w:iCs/>
              </w:rPr>
              <w:t>a circulação de visitantes</w:t>
            </w:r>
            <w:r>
              <w:rPr>
                <w:i/>
                <w:iCs/>
              </w:rPr>
              <w:t xml:space="preserve"> é bem menor</w:t>
            </w:r>
            <w:r w:rsidR="00422C99">
              <w:rPr>
                <w:i/>
                <w:iCs/>
              </w:rPr>
              <w:t xml:space="preserve">, </w:t>
            </w:r>
            <w:r>
              <w:rPr>
                <w:i/>
                <w:iCs/>
              </w:rPr>
              <w:t>sendo uma área eventualmente utilizada</w:t>
            </w:r>
            <w:r w:rsidR="00422C99">
              <w:rPr>
                <w:i/>
                <w:iCs/>
              </w:rPr>
              <w:t xml:space="preserve"> por ciclistas e pessoas que </w:t>
            </w:r>
            <w:r>
              <w:rPr>
                <w:i/>
                <w:iCs/>
              </w:rPr>
              <w:t>realizam</w:t>
            </w:r>
            <w:r w:rsidR="00422C9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rituais </w:t>
            </w:r>
            <w:r w:rsidR="00422C99">
              <w:rPr>
                <w:i/>
                <w:iCs/>
              </w:rPr>
              <w:t>religioso</w:t>
            </w:r>
            <w:r>
              <w:rPr>
                <w:i/>
                <w:iCs/>
              </w:rPr>
              <w:t>s</w:t>
            </w:r>
            <w:r w:rsidR="00422C99">
              <w:rPr>
                <w:i/>
                <w:iCs/>
              </w:rPr>
              <w:t>,</w:t>
            </w:r>
            <w:r>
              <w:rPr>
                <w:i/>
                <w:iCs/>
              </w:rPr>
              <w:t xml:space="preserve"> </w:t>
            </w:r>
            <w:r w:rsidR="00422C99">
              <w:rPr>
                <w:i/>
                <w:iCs/>
              </w:rPr>
              <w:t>cu</w:t>
            </w:r>
            <w:r>
              <w:rPr>
                <w:i/>
                <w:iCs/>
              </w:rPr>
              <w:t>jos materiais muitas vezes ocasionam pequenos focos de incêndio</w:t>
            </w:r>
            <w:r w:rsidR="00422C99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 xml:space="preserve">Também há incidência de </w:t>
            </w:r>
            <w:r w:rsidR="00422C99">
              <w:rPr>
                <w:i/>
                <w:iCs/>
              </w:rPr>
              <w:t>incêndios</w:t>
            </w:r>
            <w:r>
              <w:rPr>
                <w:i/>
                <w:iCs/>
              </w:rPr>
              <w:t xml:space="preserve"> </w:t>
            </w:r>
            <w:r w:rsidR="00422C99">
              <w:rPr>
                <w:i/>
                <w:iCs/>
              </w:rPr>
              <w:t>nas divisas</w:t>
            </w:r>
            <w:r>
              <w:rPr>
                <w:i/>
                <w:iCs/>
              </w:rPr>
              <w:t xml:space="preserve"> desse setor</w:t>
            </w:r>
            <w:r w:rsidR="00422C99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Nesses t</w:t>
            </w:r>
            <w:r w:rsidR="00422C99">
              <w:rPr>
                <w:i/>
                <w:iCs/>
              </w:rPr>
              <w:t>alhões</w:t>
            </w:r>
            <w:r>
              <w:rPr>
                <w:i/>
                <w:iCs/>
              </w:rPr>
              <w:t xml:space="preserve">, a </w:t>
            </w:r>
            <w:r w:rsidR="00422C99">
              <w:rPr>
                <w:i/>
                <w:iCs/>
              </w:rPr>
              <w:t>circulação dos funcionários</w:t>
            </w:r>
            <w:r>
              <w:rPr>
                <w:i/>
                <w:iCs/>
              </w:rPr>
              <w:t xml:space="preserve"> não é frequente</w:t>
            </w:r>
            <w:r w:rsidR="00422C99">
              <w:rPr>
                <w:i/>
                <w:iCs/>
              </w:rPr>
              <w:t xml:space="preserve">. </w:t>
            </w:r>
          </w:p>
          <w:p w:rsidR="00767E98" w:rsidRDefault="00422C99" w:rsidP="00F44705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A estrada </w:t>
            </w:r>
            <w:r w:rsidR="00AE6C8B">
              <w:rPr>
                <w:i/>
                <w:iCs/>
              </w:rPr>
              <w:t xml:space="preserve">municipal </w:t>
            </w:r>
            <w:r>
              <w:rPr>
                <w:i/>
                <w:iCs/>
              </w:rPr>
              <w:t>Rissieri Fur</w:t>
            </w:r>
            <w:r w:rsidR="009C0843">
              <w:rPr>
                <w:i/>
                <w:iCs/>
              </w:rPr>
              <w:t>lan</w:t>
            </w:r>
            <w:r w:rsidR="00AE6C8B">
              <w:rPr>
                <w:i/>
                <w:iCs/>
              </w:rPr>
              <w:t>, que divide a unidade,</w:t>
            </w:r>
            <w:r w:rsidR="009C0843">
              <w:rPr>
                <w:i/>
                <w:iCs/>
              </w:rPr>
              <w:t xml:space="preserve"> </w:t>
            </w:r>
            <w:r w:rsidR="00AE6C8B">
              <w:rPr>
                <w:i/>
                <w:iCs/>
              </w:rPr>
              <w:t>é utilizada como</w:t>
            </w:r>
            <w:r>
              <w:rPr>
                <w:i/>
                <w:iCs/>
              </w:rPr>
              <w:t xml:space="preserve"> acesso a essa área. </w:t>
            </w:r>
          </w:p>
          <w:p w:rsidR="00E51B73" w:rsidRDefault="00AE6C8B" w:rsidP="00AE6C8B">
            <w:pPr>
              <w:spacing w:after="0" w:line="240" w:lineRule="auto"/>
            </w:pPr>
            <w:r>
              <w:t xml:space="preserve">A área é formada por talhões de reflorestamento e uma área nativa. </w:t>
            </w:r>
            <w:r w:rsidR="00E74CB2">
              <w:t xml:space="preserve">Localizam-se, neste setor, os ribeirões Tijuco Preto e Batistada. </w:t>
            </w:r>
          </w:p>
          <w:p w:rsidR="00AE6C8B" w:rsidRPr="00F44705" w:rsidRDefault="00AE6C8B" w:rsidP="00AE6C8B">
            <w:pPr>
              <w:spacing w:after="0" w:line="240" w:lineRule="auto"/>
            </w:pPr>
          </w:p>
        </w:tc>
      </w:tr>
      <w:tr w:rsidR="00E51B73" w:rsidRPr="00F44705">
        <w:trPr>
          <w:jc w:val="center"/>
        </w:trPr>
        <w:tc>
          <w:tcPr>
            <w:tcW w:w="8789" w:type="dxa"/>
            <w:gridSpan w:val="2"/>
            <w:shd w:val="clear" w:color="auto" w:fill="FABF8F"/>
          </w:tcPr>
          <w:p w:rsidR="00E51B73" w:rsidRPr="00F44705" w:rsidRDefault="00AE6C8B" w:rsidP="00AE6C8B">
            <w:pPr>
              <w:spacing w:after="0" w:line="240" w:lineRule="auto"/>
            </w:pPr>
            <w:r>
              <w:rPr>
                <w:b/>
                <w:bCs/>
              </w:rPr>
              <w:t>2. Setor</w:t>
            </w:r>
            <w:r w:rsidR="00E51B73">
              <w:rPr>
                <w:b/>
                <w:bCs/>
              </w:rPr>
              <w:t xml:space="preserve"> 2 </w:t>
            </w:r>
            <w:r>
              <w:rPr>
                <w:b/>
                <w:bCs/>
              </w:rPr>
              <w:t xml:space="preserve">– Áreas de menor circulação </w:t>
            </w:r>
          </w:p>
        </w:tc>
      </w:tr>
      <w:tr w:rsidR="00E51B73" w:rsidRPr="00F44705">
        <w:trPr>
          <w:trHeight w:val="268"/>
          <w:jc w:val="center"/>
        </w:trPr>
        <w:tc>
          <w:tcPr>
            <w:tcW w:w="2410" w:type="dxa"/>
            <w:tcBorders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  <w:rPr>
                <w:b/>
                <w:bCs/>
              </w:rPr>
            </w:pPr>
            <w:r w:rsidRPr="00F44705">
              <w:rPr>
                <w:b/>
                <w:bCs/>
              </w:rPr>
              <w:t>3. Tipos de operação:</w:t>
            </w:r>
          </w:p>
          <w:p w:rsidR="00E51B73" w:rsidRPr="00F44705" w:rsidRDefault="00E51B73" w:rsidP="00F4470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379" w:type="dxa"/>
            <w:tcBorders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  <w:rPr>
                <w:b/>
                <w:bCs/>
              </w:rPr>
            </w:pPr>
            <w:r w:rsidRPr="00F44705">
              <w:rPr>
                <w:b/>
                <w:bCs/>
              </w:rPr>
              <w:t>4. Frequência:</w:t>
            </w:r>
          </w:p>
        </w:tc>
      </w:tr>
      <w:tr w:rsidR="00E51B73" w:rsidRPr="00F4470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E51B73" w:rsidRPr="00F44705" w:rsidRDefault="00E51B73" w:rsidP="00BA6E49">
            <w:pPr>
              <w:spacing w:after="0" w:line="240" w:lineRule="auto"/>
            </w:pPr>
            <w:r w:rsidRPr="00F44705">
              <w:t xml:space="preserve">( </w:t>
            </w:r>
            <w:r>
              <w:t>X</w:t>
            </w:r>
            <w:r w:rsidRPr="00F44705">
              <w:t xml:space="preserve">) operação de rotina da PAMB  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>(</w:t>
            </w:r>
            <w:r w:rsidR="00E74CB2">
              <w:t xml:space="preserve">   </w:t>
            </w:r>
            <w:r w:rsidRPr="00F44705">
              <w:t>) quinzenal           (</w:t>
            </w:r>
            <w:r>
              <w:t xml:space="preserve"> x </w:t>
            </w:r>
            <w:r w:rsidRPr="00F44705">
              <w:t xml:space="preserve">) mensal     (  ) bimestral     (      )  trimestral                                                       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  <w:p w:rsidR="00E51B73" w:rsidRPr="00F44705" w:rsidRDefault="00E51B73" w:rsidP="00F44705">
            <w:pPr>
              <w:spacing w:after="0" w:line="240" w:lineRule="auto"/>
            </w:pPr>
            <w:r w:rsidRPr="00F44705">
              <w:t>(  )outros______________________________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</w:tc>
      </w:tr>
      <w:tr w:rsidR="00E51B73" w:rsidRPr="00F44705">
        <w:trPr>
          <w:trHeight w:val="614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E51B73" w:rsidRPr="00F44705" w:rsidRDefault="00E51B73" w:rsidP="005B27D8">
            <w:pPr>
              <w:spacing w:after="0" w:line="240" w:lineRule="auto"/>
            </w:pPr>
            <w:r w:rsidRPr="00F44705">
              <w:t xml:space="preserve">( </w:t>
            </w:r>
            <w:r>
              <w:t xml:space="preserve">x </w:t>
            </w:r>
            <w:r w:rsidRPr="00F44705">
              <w:t>) operação de rotina da UC</w:t>
            </w: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 xml:space="preserve">() quinzenal           ( </w:t>
            </w:r>
            <w:r>
              <w:t>x</w:t>
            </w:r>
            <w:r w:rsidRPr="00F44705">
              <w:t xml:space="preserve"> ) mensal     (  ) bimestral     (      )  trimestral                                                       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  <w:p w:rsidR="00E51B73" w:rsidRPr="00F44705" w:rsidRDefault="00E51B73" w:rsidP="00F44705">
            <w:pPr>
              <w:spacing w:after="0" w:line="240" w:lineRule="auto"/>
            </w:pPr>
            <w:r w:rsidRPr="00F44705">
              <w:t>(  )outros______________________________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</w:tc>
      </w:tr>
      <w:tr w:rsidR="00E51B73" w:rsidRPr="00F44705">
        <w:trPr>
          <w:trHeight w:val="529"/>
          <w:jc w:val="center"/>
        </w:trPr>
        <w:tc>
          <w:tcPr>
            <w:tcW w:w="241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 xml:space="preserve">( </w:t>
            </w:r>
            <w:r w:rsidR="00732E47">
              <w:t xml:space="preserve"> </w:t>
            </w:r>
            <w:r w:rsidRPr="00F44705">
              <w:t xml:space="preserve">) operação integrada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>(  ) quinzenal           (</w:t>
            </w:r>
            <w:r w:rsidR="00732E47">
              <w:t xml:space="preserve">  </w:t>
            </w:r>
            <w:r w:rsidRPr="00F44705">
              <w:t xml:space="preserve">) mensal     () bimestral     (      )  trimestral                                   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  <w:p w:rsidR="00E51B73" w:rsidRPr="00F44705" w:rsidRDefault="00E51B73" w:rsidP="00F44705">
            <w:pPr>
              <w:spacing w:after="0" w:line="240" w:lineRule="auto"/>
            </w:pPr>
            <w:r w:rsidRPr="00F44705">
              <w:t>(   ) outros______________________________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</w:tc>
      </w:tr>
      <w:tr w:rsidR="00E51B73" w:rsidRPr="00F44705">
        <w:trPr>
          <w:trHeight w:val="427"/>
          <w:jc w:val="center"/>
        </w:trPr>
        <w:tc>
          <w:tcPr>
            <w:tcW w:w="2410" w:type="dxa"/>
            <w:tcBorders>
              <w:top w:val="dashed" w:sz="4" w:space="0" w:color="auto"/>
              <w:right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 xml:space="preserve">(    ) grande operações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  <w:p w:rsidR="00E51B73" w:rsidRPr="00F44705" w:rsidRDefault="00E51B73" w:rsidP="00F44705">
            <w:pPr>
              <w:spacing w:after="0" w:line="240" w:lineRule="auto"/>
            </w:pPr>
          </w:p>
        </w:tc>
        <w:tc>
          <w:tcPr>
            <w:tcW w:w="6379" w:type="dxa"/>
            <w:tcBorders>
              <w:top w:val="dashed" w:sz="4" w:space="0" w:color="auto"/>
              <w:left w:val="dashed" w:sz="4" w:space="0" w:color="auto"/>
            </w:tcBorders>
            <w:shd w:val="clear" w:color="auto" w:fill="FBD4B4"/>
          </w:tcPr>
          <w:p w:rsidR="00E51B73" w:rsidRPr="00F44705" w:rsidRDefault="00E51B73" w:rsidP="00F44705">
            <w:pPr>
              <w:spacing w:after="0" w:line="240" w:lineRule="auto"/>
            </w:pPr>
            <w:r w:rsidRPr="00F44705">
              <w:t xml:space="preserve">(  ) bimestral     (      )  trimestral    (   )semestral    (  ) anual </w:t>
            </w:r>
          </w:p>
          <w:p w:rsidR="00E51B73" w:rsidRPr="00F44705" w:rsidRDefault="00E51B73" w:rsidP="00F44705">
            <w:pPr>
              <w:spacing w:after="0" w:line="240" w:lineRule="auto"/>
            </w:pPr>
          </w:p>
          <w:p w:rsidR="00E51B73" w:rsidRPr="00F44705" w:rsidRDefault="00E51B73" w:rsidP="00F44705">
            <w:pPr>
              <w:spacing w:after="0" w:line="240" w:lineRule="auto"/>
            </w:pPr>
          </w:p>
        </w:tc>
      </w:tr>
    </w:tbl>
    <w:p w:rsidR="00E51B73" w:rsidRDefault="00E51B73" w:rsidP="00E410E0">
      <w:pPr>
        <w:jc w:val="center"/>
        <w:rPr>
          <w:b/>
          <w:bCs/>
          <w:sz w:val="24"/>
          <w:szCs w:val="24"/>
        </w:rPr>
      </w:pPr>
    </w:p>
    <w:p w:rsidR="00E51B73" w:rsidRDefault="00E51B73" w:rsidP="00714CE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Observação: pontuar as áreas Críticas</w:t>
      </w:r>
    </w:p>
    <w:sectPr w:rsidR="00E51B73" w:rsidSect="00444A3A">
      <w:headerReference w:type="default" r:id="rId7"/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976" w:rsidRDefault="006D5976" w:rsidP="008C604D">
      <w:pPr>
        <w:spacing w:after="0" w:line="240" w:lineRule="auto"/>
      </w:pPr>
      <w:r>
        <w:separator/>
      </w:r>
    </w:p>
  </w:endnote>
  <w:endnote w:type="continuationSeparator" w:id="1">
    <w:p w:rsidR="006D5976" w:rsidRDefault="006D5976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976" w:rsidRDefault="006D5976" w:rsidP="008C604D">
      <w:pPr>
        <w:spacing w:after="0" w:line="240" w:lineRule="auto"/>
      </w:pPr>
      <w:r>
        <w:separator/>
      </w:r>
    </w:p>
  </w:footnote>
  <w:footnote w:type="continuationSeparator" w:id="1">
    <w:p w:rsidR="006D5976" w:rsidRDefault="006D5976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B73" w:rsidRDefault="00E51B73" w:rsidP="00444A3A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 w:rsidRPr="00580C2B">
      <w:rPr>
        <w:rFonts w:ascii="Century Gothic" w:hAnsi="Century Gothic" w:cs="Century Gothic"/>
        <w:b/>
        <w:bCs/>
        <w:color w:val="808080"/>
        <w:sz w:val="24"/>
        <w:szCs w:val="24"/>
      </w:rPr>
      <w:t>SIM – Plano de Fiscalização Ambiental – Unidades de Conservação</w:t>
    </w:r>
  </w:p>
  <w:p w:rsidR="00E51B73" w:rsidRPr="00444A3A" w:rsidRDefault="00E51B73" w:rsidP="00444A3A">
    <w:pPr>
      <w:pStyle w:val="Cabealho"/>
      <w:jc w:val="right"/>
      <w:rPr>
        <w:rFonts w:ascii="Century Gothic" w:hAnsi="Century Gothic" w:cs="Century Gothic"/>
        <w:b/>
        <w:bCs/>
        <w:color w:val="808080"/>
        <w:sz w:val="24"/>
        <w:szCs w:val="24"/>
      </w:rPr>
    </w:pPr>
    <w:r>
      <w:rPr>
        <w:rFonts w:ascii="Century Gothic" w:hAnsi="Century Gothic" w:cs="Century Gothic"/>
        <w:b/>
        <w:bCs/>
        <w:color w:val="808080"/>
        <w:sz w:val="24"/>
        <w:szCs w:val="24"/>
      </w:rPr>
      <w:t>Ficha 6</w:t>
    </w:r>
  </w:p>
  <w:p w:rsidR="00E51B73" w:rsidRDefault="00E51B7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17305"/>
    <w:rsid w:val="0004282B"/>
    <w:rsid w:val="00046296"/>
    <w:rsid w:val="00070DFB"/>
    <w:rsid w:val="00077191"/>
    <w:rsid w:val="000851AE"/>
    <w:rsid w:val="00096639"/>
    <w:rsid w:val="00096A07"/>
    <w:rsid w:val="000F62AC"/>
    <w:rsid w:val="001046A4"/>
    <w:rsid w:val="00127485"/>
    <w:rsid w:val="00127A3F"/>
    <w:rsid w:val="00142892"/>
    <w:rsid w:val="0014481D"/>
    <w:rsid w:val="00175ABD"/>
    <w:rsid w:val="00190968"/>
    <w:rsid w:val="00194F9A"/>
    <w:rsid w:val="001967D7"/>
    <w:rsid w:val="00197FD1"/>
    <w:rsid w:val="001C5E83"/>
    <w:rsid w:val="001F08EA"/>
    <w:rsid w:val="00203263"/>
    <w:rsid w:val="002501B8"/>
    <w:rsid w:val="00251C94"/>
    <w:rsid w:val="00252B60"/>
    <w:rsid w:val="002A5B70"/>
    <w:rsid w:val="002C129F"/>
    <w:rsid w:val="002E0C82"/>
    <w:rsid w:val="003076E3"/>
    <w:rsid w:val="00313D43"/>
    <w:rsid w:val="00333791"/>
    <w:rsid w:val="00341E7F"/>
    <w:rsid w:val="00344D3F"/>
    <w:rsid w:val="00356310"/>
    <w:rsid w:val="00360D7A"/>
    <w:rsid w:val="00364328"/>
    <w:rsid w:val="003B03D8"/>
    <w:rsid w:val="003C2639"/>
    <w:rsid w:val="003F4772"/>
    <w:rsid w:val="00417305"/>
    <w:rsid w:val="00422C99"/>
    <w:rsid w:val="00444A3A"/>
    <w:rsid w:val="00470B23"/>
    <w:rsid w:val="004A55D1"/>
    <w:rsid w:val="004D5D44"/>
    <w:rsid w:val="004F697E"/>
    <w:rsid w:val="00505103"/>
    <w:rsid w:val="00510B50"/>
    <w:rsid w:val="005219C4"/>
    <w:rsid w:val="00526C85"/>
    <w:rsid w:val="005644AB"/>
    <w:rsid w:val="00580C2B"/>
    <w:rsid w:val="005815AD"/>
    <w:rsid w:val="005B27D8"/>
    <w:rsid w:val="005B6F5E"/>
    <w:rsid w:val="005D5E13"/>
    <w:rsid w:val="005F6AB4"/>
    <w:rsid w:val="00650553"/>
    <w:rsid w:val="00654E46"/>
    <w:rsid w:val="0065603F"/>
    <w:rsid w:val="006818F5"/>
    <w:rsid w:val="00684972"/>
    <w:rsid w:val="006B138C"/>
    <w:rsid w:val="006D5976"/>
    <w:rsid w:val="006E28F7"/>
    <w:rsid w:val="006F22D4"/>
    <w:rsid w:val="00701BB8"/>
    <w:rsid w:val="007111D5"/>
    <w:rsid w:val="00714CE2"/>
    <w:rsid w:val="00732E47"/>
    <w:rsid w:val="00744BE4"/>
    <w:rsid w:val="00767E98"/>
    <w:rsid w:val="007809A6"/>
    <w:rsid w:val="00793E4A"/>
    <w:rsid w:val="007C06F2"/>
    <w:rsid w:val="007E439B"/>
    <w:rsid w:val="007E642B"/>
    <w:rsid w:val="007F722B"/>
    <w:rsid w:val="00802CA6"/>
    <w:rsid w:val="00804FE9"/>
    <w:rsid w:val="00844A37"/>
    <w:rsid w:val="0085501E"/>
    <w:rsid w:val="00855E32"/>
    <w:rsid w:val="00856FCD"/>
    <w:rsid w:val="008609D5"/>
    <w:rsid w:val="00860C30"/>
    <w:rsid w:val="008A023D"/>
    <w:rsid w:val="008B11DD"/>
    <w:rsid w:val="008C604D"/>
    <w:rsid w:val="008E7184"/>
    <w:rsid w:val="008F6E34"/>
    <w:rsid w:val="00905C05"/>
    <w:rsid w:val="00922F8D"/>
    <w:rsid w:val="00973C3E"/>
    <w:rsid w:val="009C0843"/>
    <w:rsid w:val="009F412C"/>
    <w:rsid w:val="009F7C50"/>
    <w:rsid w:val="00A8526E"/>
    <w:rsid w:val="00AC4659"/>
    <w:rsid w:val="00AE6C8B"/>
    <w:rsid w:val="00B01120"/>
    <w:rsid w:val="00B26A2D"/>
    <w:rsid w:val="00B81086"/>
    <w:rsid w:val="00BA0296"/>
    <w:rsid w:val="00BA6E49"/>
    <w:rsid w:val="00C45666"/>
    <w:rsid w:val="00C85824"/>
    <w:rsid w:val="00D02400"/>
    <w:rsid w:val="00D029E4"/>
    <w:rsid w:val="00D24FEC"/>
    <w:rsid w:val="00D44D9C"/>
    <w:rsid w:val="00D624DE"/>
    <w:rsid w:val="00D67AF6"/>
    <w:rsid w:val="00DF6954"/>
    <w:rsid w:val="00E147CF"/>
    <w:rsid w:val="00E27C86"/>
    <w:rsid w:val="00E410E0"/>
    <w:rsid w:val="00E432B7"/>
    <w:rsid w:val="00E51618"/>
    <w:rsid w:val="00E51B73"/>
    <w:rsid w:val="00E72A40"/>
    <w:rsid w:val="00E74CB2"/>
    <w:rsid w:val="00E92BD7"/>
    <w:rsid w:val="00E96C79"/>
    <w:rsid w:val="00EC3088"/>
    <w:rsid w:val="00EC5046"/>
    <w:rsid w:val="00ED21E4"/>
    <w:rsid w:val="00F40E15"/>
    <w:rsid w:val="00F41921"/>
    <w:rsid w:val="00F44705"/>
    <w:rsid w:val="00F66C80"/>
    <w:rsid w:val="00FB2600"/>
    <w:rsid w:val="00FD6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4173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99"/>
    <w:rsid w:val="00194F9A"/>
    <w:rPr>
      <w:rFonts w:cs="Calibri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99"/>
    <w:qFormat/>
    <w:rsid w:val="00E410E0"/>
    <w:pPr>
      <w:ind w:left="720"/>
    </w:pPr>
  </w:style>
  <w:style w:type="paragraph" w:styleId="Cabealho">
    <w:name w:val="header"/>
    <w:basedOn w:val="Normal"/>
    <w:link w:val="CabealhoChar"/>
    <w:uiPriority w:val="99"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8C604D"/>
  </w:style>
  <w:style w:type="paragraph" w:styleId="Rodap">
    <w:name w:val="footer"/>
    <w:basedOn w:val="Normal"/>
    <w:link w:val="RodapChar"/>
    <w:uiPriority w:val="99"/>
    <w:semiHidden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8C60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SMA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dc:description/>
  <cp:lastModifiedBy>tupi</cp:lastModifiedBy>
  <cp:revision>3</cp:revision>
  <cp:lastPrinted>2012-10-26T17:52:00Z</cp:lastPrinted>
  <dcterms:created xsi:type="dcterms:W3CDTF">2014-12-16T16:38:00Z</dcterms:created>
  <dcterms:modified xsi:type="dcterms:W3CDTF">2015-12-18T17:28:00Z</dcterms:modified>
</cp:coreProperties>
</file>